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62A19" w14:textId="6EE5F178" w:rsidR="00EB2B49" w:rsidRDefault="00683EDE" w:rsidP="00444629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>AVIS DE PUBLICIT</w:t>
      </w:r>
      <w:r w:rsidR="002648FC" w:rsidRPr="002648FC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>É</w:t>
      </w:r>
      <w:r w:rsidR="004B4D11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 xml:space="preserve"> AUX ASSOCIATIONS </w:t>
      </w:r>
      <w:r w:rsidR="00197ECA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>POUR LE RENOUVELLEMENT DES ADMINISTRATEURS NOMM</w:t>
      </w:r>
      <w:r w:rsidR="002648FC" w:rsidRPr="002648FC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>É</w:t>
      </w:r>
      <w:r w:rsidR="00197ECA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>S DU CCAS</w:t>
      </w:r>
    </w:p>
    <w:p w14:paraId="63B6439D" w14:textId="4C709ABC" w:rsidR="00197ECA" w:rsidRDefault="00197ECA" w:rsidP="00444629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>AVIS D</w:t>
      </w:r>
      <w:r w:rsidR="0015038C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 xml:space="preserve">’APPEL </w:t>
      </w:r>
      <w:r w:rsidR="002648FC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>À</w:t>
      </w:r>
      <w:r w:rsidR="0015038C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 xml:space="preserve"> CANDIDATURES AUX ASSOCIATIONS PARTICIPANT </w:t>
      </w:r>
      <w:r w:rsidR="002648FC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 xml:space="preserve">À </w:t>
      </w:r>
      <w:r w:rsidR="0015038C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>DES ACTIONS D’ANIMATION, DE PR</w:t>
      </w:r>
      <w:r w:rsidR="002648FC" w:rsidRPr="002648FC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>É</w:t>
      </w:r>
      <w:r w:rsidR="0015038C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>VENTION ET DE D</w:t>
      </w:r>
      <w:r w:rsidR="002648FC" w:rsidRPr="002648FC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>É</w:t>
      </w:r>
      <w:r w:rsidR="0015038C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>VELOPPEMENT SOCIAL DANS LA COMMUNE</w:t>
      </w:r>
    </w:p>
    <w:p w14:paraId="2E9E694F" w14:textId="77777777" w:rsidR="004B7EFB" w:rsidRDefault="004B7EFB" w:rsidP="00444629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</w:pPr>
    </w:p>
    <w:p w14:paraId="06BFAE6D" w14:textId="7D2E2AFA" w:rsidR="0015038C" w:rsidRPr="00EB2B49" w:rsidRDefault="004B7EFB" w:rsidP="004B7EFB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>LE MAIRE INFORME</w:t>
      </w:r>
    </w:p>
    <w:p w14:paraId="23F9E0D8" w14:textId="6F4E2607" w:rsidR="00EB2B49" w:rsidRPr="00EB2B49" w:rsidRDefault="00EB2B49" w:rsidP="005F6B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4337731" w14:textId="1C6E0316" w:rsidR="00EB2B49" w:rsidRPr="00EB2B49" w:rsidRDefault="00EB2B49" w:rsidP="005F6BD1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</w:pPr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 xml:space="preserve">Suite aux élections municipales du </w:t>
      </w:r>
      <w:r w:rsidR="00A03E1B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>22</w:t>
      </w:r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 xml:space="preserve"> mars 2026, il est procédé au renouvellement du Conseil d’administration du Centre communal d’action sociale (CCAS) de </w:t>
      </w:r>
      <w:r w:rsidR="00A03E1B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 xml:space="preserve">la </w:t>
      </w:r>
      <w:r w:rsidR="002648FC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>V</w:t>
      </w:r>
      <w:r w:rsidR="00A03E1B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>ille de Montrouge</w:t>
      </w:r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>, lequel anime une action générale de prévention et de développement social dans la commune, en liaison étroite avec les institutions publiques et privées.</w:t>
      </w:r>
    </w:p>
    <w:p w14:paraId="05705989" w14:textId="336029C9" w:rsidR="00EB2B49" w:rsidRPr="00EB2B49" w:rsidRDefault="00EB2B49" w:rsidP="005F6BD1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</w:pPr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 xml:space="preserve">Administré par un Conseil d’administration, le CCAS est un établissement public administratif doté d’une personnalité juridique de droit public ainsi </w:t>
      </w:r>
      <w:r w:rsidR="007761FA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 xml:space="preserve">que </w:t>
      </w:r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>d’un budget propre.</w:t>
      </w:r>
    </w:p>
    <w:p w14:paraId="4227A23A" w14:textId="77777777" w:rsidR="00EB2B49" w:rsidRPr="00EB2B49" w:rsidRDefault="00EB2B49" w:rsidP="005F6BD1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</w:pPr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>En application des articles L.123-6, R.123-11, et R.123-12 du code de l’action sociale et des familles, ce Conseil d’administration, présidé par le Maire, est composé à parité d’élus municipaux et de personnes nommées par le Maire parmi les personnes « participant à des actions d’animation, de prévention et de développement social dans la commune ».</w:t>
      </w:r>
    </w:p>
    <w:p w14:paraId="05877386" w14:textId="77777777" w:rsidR="00EB2B49" w:rsidRPr="00EB2B49" w:rsidRDefault="00EB2B49" w:rsidP="005F6BD1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</w:pPr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>Parmi ces personnes, doivent figurer obligatoirement et au minimum :</w:t>
      </w:r>
    </w:p>
    <w:p w14:paraId="38679719" w14:textId="77777777" w:rsidR="00EB2B49" w:rsidRPr="00EB2B49" w:rsidRDefault="00EB2B49" w:rsidP="005F6B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</w:pPr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 xml:space="preserve">Un représentant des associations œuvrant dans le domaine de </w:t>
      </w:r>
      <w:proofErr w:type="gramStart"/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>l'insertion</w:t>
      </w:r>
      <w:proofErr w:type="gramEnd"/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 xml:space="preserve"> et de la lutte contre les exclusions ;</w:t>
      </w:r>
    </w:p>
    <w:p w14:paraId="791C757E" w14:textId="77777777" w:rsidR="00EB2B49" w:rsidRPr="00EB2B49" w:rsidRDefault="00EB2B49" w:rsidP="005F6B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</w:pPr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>Un représentant des associations familiales désigné sur proposition de l'Union Départementale des Associations Familiales ;</w:t>
      </w:r>
    </w:p>
    <w:p w14:paraId="53D453B1" w14:textId="77777777" w:rsidR="00EB2B49" w:rsidRPr="00EB2B49" w:rsidRDefault="00EB2B49" w:rsidP="005F6B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</w:pPr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>Un représentant des associations de retraités et de personnes âgées du département ;</w:t>
      </w:r>
    </w:p>
    <w:p w14:paraId="139B7CF4" w14:textId="77777777" w:rsidR="00EB2B49" w:rsidRPr="00EB2B49" w:rsidRDefault="00EB2B49" w:rsidP="005F6B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</w:pPr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>Un représentant des associations de personnes handicapées du département.</w:t>
      </w:r>
    </w:p>
    <w:p w14:paraId="4F155356" w14:textId="62DDB6B3" w:rsidR="00EB2B49" w:rsidRPr="00EB2B49" w:rsidRDefault="00411140" w:rsidP="005F6BD1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</w:pPr>
      <w:proofErr w:type="gramStart"/>
      <w:r w:rsidRPr="00EB2B49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>Les</w:t>
      </w:r>
      <w:r w:rsidR="000827A7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>dites</w:t>
      </w:r>
      <w:proofErr w:type="gramEnd"/>
      <w:r w:rsidR="00EB2B49" w:rsidRPr="00EB2B49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 xml:space="preserve"> associations sont les bienvenues pour candidater et proposer les personnes susceptibles de les représenter au sein du Conseil d’administration du CCAS.</w:t>
      </w:r>
    </w:p>
    <w:p w14:paraId="002AFB03" w14:textId="3E19CFF7" w:rsidR="00EB2B49" w:rsidRPr="00EB2B49" w:rsidRDefault="00EB2B49" w:rsidP="005F6BD1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</w:pPr>
      <w:r w:rsidRPr="00EB2B49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>Elles sont invitées à adresser à Monsieur</w:t>
      </w:r>
      <w:r w:rsidR="007761FA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 xml:space="preserve"> </w:t>
      </w:r>
      <w:r w:rsidRPr="00EB2B49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>le</w:t>
      </w:r>
      <w:r w:rsidR="007761FA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 xml:space="preserve"> </w:t>
      </w:r>
      <w:r w:rsidRPr="00EB2B49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>Maire une liste comportant au moins trois personnes (sauf impossibilité dûment justifiée). Les associations ayant le même objet peuvent proposer une liste commune.</w:t>
      </w:r>
    </w:p>
    <w:p w14:paraId="73C1AF9E" w14:textId="77777777" w:rsidR="002648FC" w:rsidRDefault="002648FC" w:rsidP="005F6BD1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</w:pPr>
    </w:p>
    <w:p w14:paraId="0BEC63BB" w14:textId="42A5F556" w:rsidR="00EB2B49" w:rsidRPr="00EB2B49" w:rsidRDefault="00EB2B49" w:rsidP="005F6BD1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</w:pPr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lastRenderedPageBreak/>
        <w:t>Pour être recevables, les candidatures devront concerner des personnes :</w:t>
      </w:r>
    </w:p>
    <w:p w14:paraId="06BAB4E9" w14:textId="77777777" w:rsidR="00EB2B49" w:rsidRPr="00EB2B49" w:rsidRDefault="00EB2B49" w:rsidP="005F6B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</w:pPr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>Dûment mandatées par l’association pour la représenter, étant établi que l’association doit avoir son siège dans le département ;</w:t>
      </w:r>
    </w:p>
    <w:p w14:paraId="43BB046F" w14:textId="77777777" w:rsidR="00EB2B49" w:rsidRPr="00EB2B49" w:rsidRDefault="00EB2B49" w:rsidP="005F6B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</w:pPr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>Menant des actions de prévention, d’animation ou de développement social dans la commune ;</w:t>
      </w:r>
    </w:p>
    <w:p w14:paraId="78A5F0F0" w14:textId="77777777" w:rsidR="00EB2B49" w:rsidRPr="00EB2B49" w:rsidRDefault="00EB2B49" w:rsidP="005F6B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</w:pPr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>Qui ne sont pas fournisseurs de biens ou de services au CCAS, n’entretiennent aucune relation de prestation à l’égard du CCAS ;</w:t>
      </w:r>
    </w:p>
    <w:p w14:paraId="11191F9A" w14:textId="77777777" w:rsidR="00EB2B49" w:rsidRPr="00EB2B49" w:rsidRDefault="00EB2B49" w:rsidP="005F6B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</w:pPr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>Qui ne sont pas membres du Conseil municipal.</w:t>
      </w:r>
    </w:p>
    <w:p w14:paraId="0BDE0687" w14:textId="77777777" w:rsidR="00EB2B49" w:rsidRPr="00EB2B49" w:rsidRDefault="00EB2B49" w:rsidP="005F6BD1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</w:pPr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>Les mandats des administrateurs élus et nommés du Conseil d’administration courront jusqu’aux prochaines élections municipales.</w:t>
      </w:r>
    </w:p>
    <w:p w14:paraId="5FAD29A1" w14:textId="77777777" w:rsidR="00EB2B49" w:rsidRPr="00EB2B49" w:rsidRDefault="00EB2B49" w:rsidP="005F6BD1">
      <w:pPr>
        <w:shd w:val="clear" w:color="auto" w:fill="FFFFFF"/>
        <w:spacing w:before="100" w:beforeAutospacing="1" w:after="100" w:afterAutospacing="1" w:line="240" w:lineRule="auto"/>
        <w:jc w:val="both"/>
        <w:outlineLvl w:val="5"/>
        <w:rPr>
          <w:rFonts w:ascii="Montserrat" w:eastAsia="Times New Roman" w:hAnsi="Montserrat" w:cs="Times New Roman"/>
          <w:b/>
          <w:bCs/>
          <w:color w:val="093F5B"/>
          <w:kern w:val="0"/>
          <w:sz w:val="28"/>
          <w:szCs w:val="28"/>
          <w:lang w:eastAsia="fr-FR"/>
          <w14:ligatures w14:val="none"/>
        </w:rPr>
      </w:pPr>
      <w:r w:rsidRPr="00EB2B49">
        <w:rPr>
          <w:rFonts w:ascii="Montserrat" w:eastAsia="Times New Roman" w:hAnsi="Montserrat" w:cs="Times New Roman"/>
          <w:b/>
          <w:bCs/>
          <w:color w:val="093F5B"/>
          <w:kern w:val="0"/>
          <w:sz w:val="28"/>
          <w:szCs w:val="28"/>
          <w:lang w:eastAsia="fr-FR"/>
          <w14:ligatures w14:val="none"/>
        </w:rPr>
        <w:t>Délai impératif</w:t>
      </w:r>
    </w:p>
    <w:p w14:paraId="1122F55C" w14:textId="0F1EE310" w:rsidR="00EB2B49" w:rsidRDefault="00EB2B49" w:rsidP="005F6BD1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</w:pPr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>Les listes des personnes présentées par les associations concernées devront parvenir à Monsieur</w:t>
      </w:r>
      <w:r w:rsidR="007761FA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 xml:space="preserve"> </w:t>
      </w:r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>le</w:t>
      </w:r>
      <w:r w:rsidR="007761FA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 xml:space="preserve"> </w:t>
      </w:r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>Maire, </w:t>
      </w:r>
      <w:r w:rsidRPr="00EB2B49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 xml:space="preserve">au plus tard le </w:t>
      </w:r>
      <w:r w:rsidR="00690F08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>15</w:t>
      </w:r>
      <w:r w:rsidRPr="00EB2B49">
        <w:rPr>
          <w:rFonts w:ascii="Montserrat" w:eastAsia="Times New Roman" w:hAnsi="Montserrat" w:cs="Times New Roman"/>
          <w:b/>
          <w:bCs/>
          <w:color w:val="111111"/>
          <w:kern w:val="0"/>
          <w:sz w:val="24"/>
          <w:szCs w:val="24"/>
          <w:lang w:eastAsia="fr-FR"/>
          <w14:ligatures w14:val="none"/>
        </w:rPr>
        <w:t xml:space="preserve"> avril 2026</w:t>
      </w:r>
      <w:r w:rsidRPr="00EB2B49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>, ou être remises au Centre communal d'action sociale ou être adressées par mail à l’adresse</w:t>
      </w:r>
      <w:r w:rsidR="0005489F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 xml:space="preserve"> </w:t>
      </w:r>
      <w:hyperlink r:id="rId5" w:history="1">
        <w:r w:rsidR="0005489F" w:rsidRPr="002561DC">
          <w:rPr>
            <w:rStyle w:val="Lienhypertexte"/>
            <w:rFonts w:ascii="Montserrat" w:eastAsia="Times New Roman" w:hAnsi="Montserrat" w:cs="Times New Roman"/>
            <w:kern w:val="0"/>
            <w:sz w:val="24"/>
            <w:szCs w:val="24"/>
            <w:lang w:eastAsia="fr-FR"/>
            <w14:ligatures w14:val="none"/>
          </w:rPr>
          <w:t>ccas@ville-montrouge.fr</w:t>
        </w:r>
      </w:hyperlink>
      <w:r w:rsidR="0005489F"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  <w:t xml:space="preserve"> </w:t>
      </w:r>
    </w:p>
    <w:p w14:paraId="6862D153" w14:textId="77777777" w:rsidR="00C017D1" w:rsidRPr="00EB2B49" w:rsidRDefault="00C017D1" w:rsidP="005F6BD1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111111"/>
          <w:kern w:val="0"/>
          <w:sz w:val="24"/>
          <w:szCs w:val="24"/>
          <w:lang w:eastAsia="fr-FR"/>
          <w14:ligatures w14:val="none"/>
        </w:rPr>
      </w:pPr>
    </w:p>
    <w:p w14:paraId="2DDB66AA" w14:textId="5ACDC0B7" w:rsidR="002667D1" w:rsidRDefault="00B254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Fait </w:t>
      </w:r>
      <w:r w:rsidR="00C017D1">
        <w:t xml:space="preserve">à </w:t>
      </w:r>
      <w:r w:rsidR="000113BF">
        <w:t>Montrouge,</w:t>
      </w:r>
      <w:r w:rsidR="00C017D1">
        <w:t xml:space="preserve"> le 01 avril </w:t>
      </w:r>
      <w:r w:rsidR="000113BF">
        <w:t>2026</w:t>
      </w:r>
    </w:p>
    <w:p w14:paraId="5E37FDF4" w14:textId="46D442CD" w:rsidR="000113BF" w:rsidRDefault="000113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D76480" w14:textId="31069F37" w:rsidR="000113BF" w:rsidRDefault="000113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0C7A">
        <w:t xml:space="preserve">Le Maire, </w:t>
      </w:r>
    </w:p>
    <w:p w14:paraId="7B3D1C0A" w14:textId="6AF50DC8" w:rsidR="004A0C7A" w:rsidRDefault="004A0C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Président du CCAS</w:t>
      </w:r>
    </w:p>
    <w:sectPr w:rsidR="004A0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26106"/>
    <w:multiLevelType w:val="multilevel"/>
    <w:tmpl w:val="DD28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E44DA7"/>
    <w:multiLevelType w:val="multilevel"/>
    <w:tmpl w:val="9FEC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522487">
    <w:abstractNumId w:val="0"/>
  </w:num>
  <w:num w:numId="2" w16cid:durableId="201426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DF"/>
    <w:rsid w:val="000113BF"/>
    <w:rsid w:val="00046D0B"/>
    <w:rsid w:val="0005489F"/>
    <w:rsid w:val="00081D20"/>
    <w:rsid w:val="000827A7"/>
    <w:rsid w:val="0015038C"/>
    <w:rsid w:val="00197ECA"/>
    <w:rsid w:val="002648FC"/>
    <w:rsid w:val="002667D1"/>
    <w:rsid w:val="002F0A87"/>
    <w:rsid w:val="00411140"/>
    <w:rsid w:val="00444629"/>
    <w:rsid w:val="004A0C7A"/>
    <w:rsid w:val="004B4D11"/>
    <w:rsid w:val="004B7EFB"/>
    <w:rsid w:val="005F6BD1"/>
    <w:rsid w:val="00683EDE"/>
    <w:rsid w:val="00690F08"/>
    <w:rsid w:val="007761FA"/>
    <w:rsid w:val="00A03E1B"/>
    <w:rsid w:val="00B14999"/>
    <w:rsid w:val="00B2546B"/>
    <w:rsid w:val="00C017D1"/>
    <w:rsid w:val="00EB2B49"/>
    <w:rsid w:val="00FD1F61"/>
    <w:rsid w:val="00FD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28A9"/>
  <w15:chartTrackingRefBased/>
  <w15:docId w15:val="{DB2108FD-2764-4ABC-A245-57BBDE19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3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3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3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3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3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3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3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3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3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3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3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3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39D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39D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39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39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39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39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3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3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3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3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3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39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39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39D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3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39D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39D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5489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4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as@ville-montrou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454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VILOCY Nathalie</dc:creator>
  <cp:keywords/>
  <dc:description/>
  <cp:lastModifiedBy>BUCK Laura</cp:lastModifiedBy>
  <cp:revision>23</cp:revision>
  <dcterms:created xsi:type="dcterms:W3CDTF">2026-04-01T08:20:00Z</dcterms:created>
  <dcterms:modified xsi:type="dcterms:W3CDTF">2026-04-01T11:54:00Z</dcterms:modified>
</cp:coreProperties>
</file>